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21" w:rsidRPr="00CC6021" w:rsidRDefault="00CC6021" w:rsidP="00CC6021">
      <w:pPr>
        <w:spacing w:line="320" w:lineRule="exact"/>
        <w:rPr>
          <w:rFonts w:ascii="Times New Roman" w:eastAsia="仿宋" w:hAnsi="仿宋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智库名称：</w:t>
      </w:r>
      <w:r w:rsidRPr="00CC6021">
        <w:rPr>
          <w:rFonts w:ascii="Times New Roman" w:eastAsia="仿宋" w:hAnsi="仿宋" w:cs="Times New Roman"/>
          <w:b/>
          <w:bCs/>
          <w:color w:val="2A2A2A"/>
          <w:sz w:val="24"/>
        </w:rPr>
        <w:t>中国共产党革命精神与文化资源研究中心</w:t>
      </w:r>
    </w:p>
    <w:p w:rsidR="00CC6021" w:rsidRPr="00CC6021" w:rsidRDefault="00CC6021" w:rsidP="00CC6021">
      <w:pPr>
        <w:spacing w:line="320" w:lineRule="exact"/>
        <w:rPr>
          <w:rFonts w:ascii="Times New Roman" w:eastAsia="仿宋" w:hAnsi="仿宋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英文名称：</w:t>
      </w:r>
      <w:r w:rsidRPr="00CC6021">
        <w:rPr>
          <w:rFonts w:ascii="Times New Roman" w:eastAsia="仿宋" w:hAnsi="仿宋" w:cs="Times New Roman"/>
          <w:b/>
          <w:bCs/>
          <w:color w:val="2A2A2A"/>
          <w:sz w:val="24"/>
        </w:rPr>
        <w:t xml:space="preserve"> Research Center of revolutionary spirit and cultural resources of the Communist Party of China</w:t>
      </w:r>
      <w:r w:rsidRPr="00CC6021">
        <w:rPr>
          <w:rFonts w:ascii="Times New Roman" w:eastAsia="仿宋" w:hAnsi="仿宋" w:cs="Times New Roman"/>
          <w:b/>
          <w:bCs/>
          <w:color w:val="2A2A2A"/>
          <w:sz w:val="24"/>
        </w:rPr>
        <w:t> </w:t>
      </w:r>
    </w:p>
    <w:p w:rsidR="00CC6021" w:rsidRPr="00CC6021" w:rsidRDefault="00CC6021" w:rsidP="00CC6021">
      <w:pPr>
        <w:spacing w:line="320" w:lineRule="exact"/>
        <w:rPr>
          <w:rFonts w:ascii="Times New Roman" w:eastAsia="仿宋" w:hAnsi="仿宋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智库地址：</w:t>
      </w:r>
      <w:r w:rsidRPr="00CC6021">
        <w:rPr>
          <w:rFonts w:ascii="Times New Roman" w:eastAsia="仿宋" w:hAnsi="仿宋" w:cs="Times New Roman"/>
          <w:b/>
          <w:bCs/>
          <w:color w:val="2A2A2A"/>
          <w:sz w:val="24"/>
        </w:rPr>
        <w:t>湖南省湘潭市</w:t>
      </w:r>
      <w:r w:rsidRPr="00CC6021">
        <w:rPr>
          <w:rFonts w:ascii="Times New Roman" w:eastAsia="仿宋" w:hAnsi="仿宋" w:cs="Times New Roman"/>
          <w:b/>
          <w:bCs/>
          <w:color w:val="2A2A2A"/>
          <w:sz w:val="24"/>
        </w:rPr>
        <w:t xml:space="preserve"> </w:t>
      </w:r>
      <w:r w:rsidRPr="00CC6021">
        <w:rPr>
          <w:rFonts w:ascii="Times New Roman" w:eastAsia="仿宋" w:hAnsi="仿宋" w:cs="Times New Roman"/>
          <w:b/>
          <w:bCs/>
          <w:color w:val="2A2A2A"/>
          <w:sz w:val="24"/>
        </w:rPr>
        <w:t>湘潭大学</w:t>
      </w:r>
      <w:r w:rsidRPr="00CC6021">
        <w:rPr>
          <w:rFonts w:ascii="Times New Roman" w:eastAsia="仿宋" w:hAnsi="仿宋" w:cs="Times New Roman"/>
          <w:b/>
          <w:bCs/>
          <w:color w:val="2A2A2A"/>
          <w:sz w:val="24"/>
        </w:rPr>
        <w:t xml:space="preserve"> </w:t>
      </w:r>
    </w:p>
    <w:p w:rsidR="00CC6021" w:rsidRPr="00CC6021" w:rsidRDefault="00CC6021" w:rsidP="00CC6021">
      <w:pPr>
        <w:spacing w:line="320" w:lineRule="exact"/>
        <w:rPr>
          <w:rFonts w:ascii="Times New Roman" w:eastAsia="仿宋" w:hAnsi="仿宋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邮编：</w:t>
      </w:r>
      <w:r w:rsidRPr="00CC6021">
        <w:rPr>
          <w:rFonts w:ascii="Times New Roman" w:eastAsia="仿宋" w:hAnsi="仿宋" w:cs="Times New Roman"/>
          <w:b/>
          <w:bCs/>
          <w:color w:val="2A2A2A"/>
          <w:sz w:val="24"/>
        </w:rPr>
        <w:t>411105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办公电话：</w:t>
      </w:r>
      <w:r w:rsidRPr="003C0E9A">
        <w:rPr>
          <w:rFonts w:ascii="Times New Roman" w:eastAsia="仿宋" w:hAnsi="Times New Roman" w:cs="Times New Roman"/>
          <w:sz w:val="24"/>
        </w:rPr>
        <w:t>0731-58293097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传真：</w:t>
      </w:r>
      <w:r w:rsidRPr="003C0E9A">
        <w:rPr>
          <w:rFonts w:ascii="Times New Roman" w:eastAsia="仿宋" w:hAnsi="Times New Roman" w:cs="Times New Roman"/>
          <w:sz w:val="24"/>
        </w:rPr>
        <w:t>0731-58293097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成立时间：</w:t>
      </w: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20</w:t>
      </w:r>
      <w:r>
        <w:rPr>
          <w:rFonts w:ascii="Times New Roman" w:eastAsia="仿宋" w:hAnsi="Times New Roman" w:cs="Times New Roman" w:hint="eastAsia"/>
          <w:b/>
          <w:bCs/>
          <w:color w:val="2A2A2A"/>
          <w:sz w:val="24"/>
        </w:rPr>
        <w:t>1</w:t>
      </w: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4.11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关系信息：</w:t>
      </w:r>
      <w:r>
        <w:rPr>
          <w:rFonts w:ascii="Times New Roman" w:eastAsia="仿宋" w:hAnsi="仿宋" w:cs="Times New Roman" w:hint="eastAsia"/>
          <w:sz w:val="24"/>
        </w:rPr>
        <w:t>教育部</w:t>
      </w:r>
      <w:r w:rsidRPr="003C0E9A">
        <w:rPr>
          <w:rFonts w:ascii="Times New Roman" w:eastAsia="仿宋" w:hAnsi="仿宋" w:cs="Times New Roman"/>
          <w:sz w:val="24"/>
        </w:rPr>
        <w:t>、湘潭大学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官方网址：</w:t>
      </w:r>
      <w:r w:rsidRPr="003C0E9A">
        <w:rPr>
          <w:rFonts w:ascii="Times New Roman" w:eastAsia="仿宋" w:hAnsi="Times New Roman" w:cs="Times New Roman"/>
          <w:color w:val="2A2A2A"/>
          <w:sz w:val="24"/>
        </w:rPr>
        <w:t>http://www.xdmyzx.cn/index.asp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color w:val="2A2A2A"/>
          <w:sz w:val="24"/>
        </w:rPr>
        <w:t>微信公号：</w:t>
      </w:r>
      <w:r w:rsidRPr="003C0E9A">
        <w:rPr>
          <w:rFonts w:ascii="Times New Roman" w:eastAsia="仿宋" w:hAnsi="仿宋" w:cs="Times New Roman"/>
          <w:color w:val="2A2A2A"/>
          <w:sz w:val="24"/>
        </w:rPr>
        <w:t>有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sz w:val="24"/>
        </w:rPr>
      </w:pPr>
      <w:r w:rsidRPr="003C0E9A">
        <w:rPr>
          <w:rFonts w:ascii="Times New Roman" w:eastAsia="仿宋" w:hAnsi="仿宋" w:cs="Times New Roman"/>
          <w:b/>
          <w:bCs/>
          <w:sz w:val="24"/>
        </w:rPr>
        <w:t>微博号：</w:t>
      </w:r>
      <w:r w:rsidRPr="003C0E9A">
        <w:rPr>
          <w:rFonts w:ascii="Times New Roman" w:eastAsia="仿宋" w:hAnsi="仿宋" w:cs="Times New Roman"/>
          <w:bCs/>
          <w:sz w:val="24"/>
        </w:rPr>
        <w:t>无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sz w:val="24"/>
        </w:rPr>
      </w:pPr>
      <w:r w:rsidRPr="003C0E9A">
        <w:rPr>
          <w:rFonts w:ascii="Times New Roman" w:eastAsia="仿宋" w:hAnsi="Times New Roman" w:cs="Times New Roman"/>
          <w:b/>
          <w:bCs/>
          <w:sz w:val="24"/>
        </w:rPr>
        <w:t>APP:</w:t>
      </w:r>
      <w:r w:rsidRPr="003C0E9A">
        <w:rPr>
          <w:rFonts w:ascii="Times New Roman" w:eastAsia="仿宋" w:hAnsi="仿宋" w:cs="Times New Roman"/>
          <w:b/>
          <w:bCs/>
          <w:sz w:val="24"/>
        </w:rPr>
        <w:t>无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Cs/>
          <w:sz w:val="24"/>
        </w:rPr>
      </w:pPr>
      <w:r w:rsidRPr="003C0E9A">
        <w:rPr>
          <w:rFonts w:ascii="Times New Roman" w:eastAsia="仿宋" w:hAnsi="仿宋" w:cs="Times New Roman"/>
          <w:b/>
          <w:bCs/>
          <w:sz w:val="24"/>
        </w:rPr>
        <w:t>其他社交媒体：</w:t>
      </w:r>
      <w:r w:rsidRPr="003C0E9A">
        <w:rPr>
          <w:rFonts w:ascii="Times New Roman" w:eastAsia="仿宋" w:hAnsi="仿宋" w:cs="Times New Roman"/>
          <w:bCs/>
          <w:sz w:val="24"/>
        </w:rPr>
        <w:t>无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机构宗旨：</w:t>
      </w:r>
      <w:r w:rsidRPr="003C0E9A">
        <w:rPr>
          <w:rFonts w:ascii="Times New Roman" w:eastAsia="仿宋" w:hAnsi="仿宋" w:cs="Times New Roman"/>
          <w:bCs/>
          <w:color w:val="2A2A2A"/>
          <w:sz w:val="24"/>
        </w:rPr>
        <w:t>回溯党的历史、探讨前沿问题、服务国家战略、建设特色智库</w:t>
      </w:r>
    </w:p>
    <w:p w:rsidR="00CC6021" w:rsidRDefault="00CC6021" w:rsidP="00CC6021">
      <w:pPr>
        <w:spacing w:line="320" w:lineRule="exact"/>
        <w:rPr>
          <w:rFonts w:ascii="Times New Roman" w:eastAsia="仿宋" w:hAnsi="仿宋" w:cs="Times New Roman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政策研究领域：</w:t>
      </w:r>
      <w:r>
        <w:rPr>
          <w:rFonts w:ascii="Times New Roman" w:eastAsia="仿宋" w:hAnsi="仿宋" w:cs="Times New Roman" w:hint="eastAsia"/>
          <w:b/>
          <w:bCs/>
          <w:color w:val="2A2A2A"/>
          <w:sz w:val="24"/>
        </w:rPr>
        <w:t>党的</w:t>
      </w:r>
      <w:r w:rsidRPr="003C0E9A">
        <w:rPr>
          <w:rFonts w:ascii="Times New Roman" w:eastAsia="仿宋" w:hAnsi="仿宋" w:cs="Times New Roman"/>
          <w:sz w:val="24"/>
        </w:rPr>
        <w:t>意识形态政策、思想政治教育政策、党的建设政策</w:t>
      </w:r>
      <w:r>
        <w:rPr>
          <w:rFonts w:ascii="Times New Roman" w:eastAsia="仿宋" w:hAnsi="仿宋" w:cs="Times New Roman" w:hint="eastAsia"/>
          <w:sz w:val="24"/>
        </w:rPr>
        <w:t>、中国特</w:t>
      </w:r>
    </w:p>
    <w:p w:rsidR="00CC6021" w:rsidRPr="003C0E9A" w:rsidRDefault="00CC6021" w:rsidP="00CC6021">
      <w:pPr>
        <w:spacing w:line="320" w:lineRule="exact"/>
        <w:ind w:firstLineChars="200" w:firstLine="480"/>
        <w:rPr>
          <w:rFonts w:ascii="Times New Roman" w:eastAsia="仿宋" w:hAnsi="Times New Roman" w:cs="Times New Roman"/>
          <w:bCs/>
          <w:color w:val="2A2A2A"/>
          <w:sz w:val="24"/>
        </w:rPr>
      </w:pPr>
      <w:r>
        <w:rPr>
          <w:rFonts w:ascii="Times New Roman" w:eastAsia="仿宋" w:hAnsi="仿宋" w:cs="Times New Roman" w:hint="eastAsia"/>
          <w:sz w:val="24"/>
        </w:rPr>
        <w:t>色哲学社会科学体系建设政策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涉及学科：</w:t>
      </w:r>
      <w:r w:rsidRPr="003C0E9A">
        <w:rPr>
          <w:rFonts w:ascii="Times New Roman" w:eastAsia="仿宋" w:hAnsi="仿宋" w:cs="Times New Roman"/>
          <w:color w:val="2A2A2A"/>
          <w:sz w:val="24"/>
        </w:rPr>
        <w:t>马克思主义中国化研究、党的建设、思想政治建设、党史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智库类型：</w:t>
      </w:r>
      <w:r w:rsidRPr="003C0E9A">
        <w:rPr>
          <w:rFonts w:ascii="Times New Roman" w:eastAsia="仿宋" w:hAnsi="仿宋" w:cs="Times New Roman"/>
          <w:color w:val="2A2A2A"/>
          <w:sz w:val="24"/>
        </w:rPr>
        <w:t>高校智库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color w:val="2A2A2A"/>
          <w:sz w:val="24"/>
        </w:rPr>
        <w:t>智库层次：</w:t>
      </w:r>
      <w:r w:rsidRPr="003C0E9A">
        <w:rPr>
          <w:rFonts w:ascii="Times New Roman" w:eastAsia="仿宋" w:hAnsi="仿宋" w:cs="Times New Roman"/>
          <w:color w:val="2A2A2A"/>
          <w:sz w:val="24"/>
        </w:rPr>
        <w:t>入选</w:t>
      </w:r>
      <w:r w:rsidRPr="003C0E9A">
        <w:rPr>
          <w:rFonts w:ascii="Times New Roman" w:eastAsia="仿宋" w:hAnsi="Times New Roman" w:cs="Times New Roman"/>
          <w:color w:val="2A2A2A"/>
          <w:sz w:val="24"/>
        </w:rPr>
        <w:t>CTTI</w:t>
      </w:r>
      <w:r w:rsidRPr="003C0E9A">
        <w:rPr>
          <w:rFonts w:ascii="Times New Roman" w:eastAsia="仿宋" w:hAnsi="仿宋" w:cs="Times New Roman"/>
          <w:color w:val="2A2A2A"/>
          <w:sz w:val="24"/>
        </w:rPr>
        <w:t>首批来源智库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法人信息：</w:t>
      </w:r>
      <w:r w:rsidRPr="003C0E9A">
        <w:rPr>
          <w:rFonts w:ascii="Times New Roman" w:eastAsia="仿宋" w:hAnsi="仿宋" w:cs="Times New Roman"/>
          <w:bCs/>
          <w:color w:val="2A2A2A"/>
          <w:sz w:val="24"/>
        </w:rPr>
        <w:t>湘潭大学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sz w:val="24"/>
        </w:rPr>
      </w:pPr>
      <w:r w:rsidRPr="003C0E9A">
        <w:rPr>
          <w:rFonts w:ascii="Times New Roman" w:eastAsia="仿宋" w:hAnsi="仿宋" w:cs="Times New Roman"/>
          <w:b/>
          <w:bCs/>
          <w:sz w:val="24"/>
        </w:rPr>
        <w:t>法人代表：</w:t>
      </w:r>
      <w:r w:rsidRPr="003C0E9A">
        <w:rPr>
          <w:rFonts w:ascii="Times New Roman" w:eastAsia="仿宋" w:hAnsi="仿宋" w:cs="Times New Roman"/>
          <w:bCs/>
          <w:sz w:val="24"/>
        </w:rPr>
        <w:t>周益春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组织机构代码：</w:t>
      </w: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44487503-5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Cs/>
          <w:sz w:val="24"/>
        </w:rPr>
      </w:pPr>
      <w:r w:rsidRPr="003C0E9A">
        <w:rPr>
          <w:rFonts w:ascii="Times New Roman" w:eastAsia="仿宋" w:hAnsi="仿宋" w:cs="Times New Roman"/>
          <w:b/>
          <w:bCs/>
          <w:sz w:val="24"/>
        </w:rPr>
        <w:t>智库负责人：</w:t>
      </w:r>
      <w:r w:rsidRPr="003C0E9A">
        <w:rPr>
          <w:rFonts w:ascii="Times New Roman" w:eastAsia="仿宋" w:hAnsi="仿宋" w:cs="Times New Roman"/>
          <w:color w:val="000000"/>
          <w:sz w:val="24"/>
        </w:rPr>
        <w:t>李佑新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管理团队：</w:t>
      </w:r>
      <w:r w:rsidRPr="003C0E9A">
        <w:rPr>
          <w:rFonts w:ascii="Times New Roman" w:eastAsia="仿宋" w:hAnsi="仿宋" w:cs="Times New Roman"/>
          <w:sz w:val="24"/>
        </w:rPr>
        <w:t>黄显中、唐正芒、张海燕、陈龙</w:t>
      </w:r>
      <w:r w:rsidRPr="003C0E9A">
        <w:rPr>
          <w:rFonts w:ascii="Times New Roman" w:eastAsia="仿宋" w:hAnsi="Times New Roman" w:cs="Times New Roman"/>
          <w:sz w:val="24"/>
        </w:rPr>
        <w:t>  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首席专家：</w:t>
      </w:r>
      <w:r w:rsidRPr="003C0E9A">
        <w:rPr>
          <w:rFonts w:ascii="Times New Roman" w:eastAsia="仿宋" w:hAnsi="仿宋" w:cs="Times New Roman"/>
          <w:sz w:val="24"/>
        </w:rPr>
        <w:t>李佑新</w:t>
      </w:r>
      <w:r w:rsidRPr="003C0E9A">
        <w:rPr>
          <w:rFonts w:ascii="Times New Roman" w:eastAsia="仿宋" w:hAnsi="Times New Roman" w:cs="Times New Roman"/>
          <w:sz w:val="24"/>
        </w:rPr>
        <w:t> 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全职研究员数：</w:t>
      </w: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8</w:t>
      </w: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人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lastRenderedPageBreak/>
        <w:t>兼职研究员数：</w:t>
      </w: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7</w:t>
      </w: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人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行政职员数：</w:t>
      </w: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1</w:t>
      </w: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人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Cs/>
          <w:color w:val="2A2A2A"/>
          <w:sz w:val="24"/>
        </w:rPr>
      </w:pP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2016</w:t>
      </w: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年度预算：</w:t>
      </w: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36</w:t>
      </w: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万</w:t>
      </w:r>
    </w:p>
    <w:p w:rsidR="00CC6021" w:rsidRPr="003C0E9A" w:rsidRDefault="00CC6021" w:rsidP="00CC6021">
      <w:pPr>
        <w:spacing w:line="320" w:lineRule="exact"/>
        <w:ind w:leftChars="-31" w:left="414" w:rightChars="-38" w:right="-84" w:hangingChars="200" w:hanging="482"/>
        <w:rPr>
          <w:rFonts w:ascii="Times New Roman" w:eastAsia="仿宋" w:hAnsi="Times New Roman" w:cs="Times New Roman"/>
          <w:b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color w:val="2A2A2A"/>
          <w:sz w:val="24"/>
        </w:rPr>
        <w:t>智库荣誉：</w:t>
      </w:r>
      <w:r w:rsidRPr="003C0E9A">
        <w:rPr>
          <w:rFonts w:ascii="Times New Roman" w:eastAsia="仿宋" w:hAnsi="仿宋" w:cs="Times New Roman"/>
          <w:bCs/>
          <w:color w:val="2A2A2A"/>
          <w:sz w:val="24"/>
        </w:rPr>
        <w:t>教育部高等学校科学研究优秀成果（人文社会科学）</w:t>
      </w:r>
      <w:r w:rsidRPr="003C0E9A">
        <w:rPr>
          <w:rFonts w:ascii="Times New Roman" w:eastAsia="仿宋" w:hAnsi="仿宋" w:cs="Times New Roman"/>
          <w:color w:val="2A2A2A"/>
          <w:sz w:val="24"/>
        </w:rPr>
        <w:t>二等奖、湖南省哲学社会科学优秀成果一、二等奖、</w:t>
      </w:r>
      <w:bookmarkStart w:id="0" w:name="_GoBack"/>
      <w:bookmarkEnd w:id="0"/>
      <w:r w:rsidRPr="003C0E9A">
        <w:rPr>
          <w:rFonts w:ascii="Times New Roman" w:eastAsia="仿宋" w:hAnsi="仿宋" w:cs="Times New Roman" w:hint="eastAsia"/>
          <w:color w:val="2A2A2A"/>
          <w:sz w:val="24"/>
        </w:rPr>
        <w:t>中国马克思主义基金会优秀成果二等奖</w:t>
      </w:r>
      <w:r>
        <w:rPr>
          <w:rFonts w:ascii="Times New Roman" w:eastAsia="仿宋" w:hAnsi="仿宋" w:cs="Times New Roman" w:hint="eastAsia"/>
          <w:color w:val="2A2A2A"/>
          <w:sz w:val="24"/>
        </w:rPr>
        <w:t>。</w:t>
      </w:r>
    </w:p>
    <w:p w:rsidR="00CC6021" w:rsidRPr="003C0E9A" w:rsidRDefault="00CC6021" w:rsidP="00CC6021">
      <w:pPr>
        <w:spacing w:line="320" w:lineRule="exact"/>
        <w:ind w:leftChars="-31" w:left="-68" w:rightChars="-38" w:right="-84"/>
        <w:rPr>
          <w:rFonts w:ascii="Times New Roman" w:eastAsia="仿宋" w:hAnsi="Times New Roman" w:cs="Times New Roman"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color w:val="2A2A2A"/>
          <w:sz w:val="24"/>
        </w:rPr>
        <w:t>代表性成果</w:t>
      </w:r>
      <w:r w:rsidRPr="003C0E9A">
        <w:rPr>
          <w:rFonts w:ascii="Times New Roman" w:eastAsia="仿宋" w:hAnsi="Times New Roman" w:cs="Times New Roman"/>
          <w:b/>
          <w:color w:val="2A2A2A"/>
          <w:sz w:val="24"/>
        </w:rPr>
        <w:t>:</w:t>
      </w:r>
      <w:r w:rsidRPr="003C0E9A">
        <w:rPr>
          <w:rFonts w:ascii="Times New Roman" w:eastAsia="仿宋" w:hAnsi="Times New Roman" w:cs="Times New Roman"/>
          <w:szCs w:val="21"/>
        </w:rPr>
        <w:t xml:space="preserve"> </w:t>
      </w:r>
      <w:r w:rsidRPr="003C0E9A">
        <w:rPr>
          <w:rFonts w:ascii="Times New Roman" w:eastAsia="仿宋" w:hAnsi="Times New Roman" w:cs="Times New Roman"/>
          <w:szCs w:val="21"/>
        </w:rPr>
        <w:t>《</w:t>
      </w:r>
      <w:r w:rsidRPr="003C0E9A">
        <w:rPr>
          <w:rFonts w:ascii="Times New Roman" w:eastAsia="仿宋" w:hAnsi="仿宋" w:cs="Times New Roman"/>
          <w:bCs/>
          <w:color w:val="2A2A2A"/>
          <w:sz w:val="24"/>
        </w:rPr>
        <w:t>建议多措并举整合开发区域红色文化遗产资源</w:t>
      </w:r>
      <w:r w:rsidRPr="003C0E9A">
        <w:rPr>
          <w:rFonts w:ascii="Times New Roman" w:eastAsia="仿宋" w:hAnsi="Times New Roman" w:cs="Times New Roman"/>
          <w:szCs w:val="21"/>
        </w:rPr>
        <w:t>》</w:t>
      </w:r>
      <w:r w:rsidRPr="003C0E9A">
        <w:rPr>
          <w:rFonts w:ascii="Times New Roman" w:eastAsia="仿宋" w:hAnsi="仿宋" w:cs="Times New Roman"/>
          <w:bCs/>
          <w:color w:val="2A2A2A"/>
          <w:sz w:val="24"/>
        </w:rPr>
        <w:t>（</w:t>
      </w:r>
      <w:r w:rsidRPr="003C0E9A">
        <w:rPr>
          <w:rFonts w:ascii="Times New Roman" w:eastAsia="仿宋" w:hAnsi="Times New Roman" w:cs="Times New Roman"/>
          <w:bCs/>
          <w:color w:val="2A2A2A"/>
          <w:sz w:val="24"/>
        </w:rPr>
        <w:t>2016</w:t>
      </w:r>
      <w:r w:rsidRPr="003C0E9A">
        <w:rPr>
          <w:rFonts w:ascii="Times New Roman" w:eastAsia="仿宋" w:hAnsi="仿宋" w:cs="Times New Roman"/>
          <w:bCs/>
          <w:color w:val="2A2A2A"/>
          <w:sz w:val="24"/>
        </w:rPr>
        <w:t>年</w:t>
      </w:r>
      <w:r w:rsidRPr="003C0E9A">
        <w:rPr>
          <w:rFonts w:ascii="Times New Roman" w:eastAsia="仿宋" w:hAnsi="Times New Roman" w:cs="Times New Roman"/>
          <w:bCs/>
          <w:color w:val="2A2A2A"/>
          <w:sz w:val="24"/>
        </w:rPr>
        <w:t>6</w:t>
      </w:r>
      <w:r w:rsidRPr="003C0E9A">
        <w:rPr>
          <w:rFonts w:ascii="Times New Roman" w:eastAsia="仿宋" w:hAnsi="仿宋" w:cs="Times New Roman"/>
          <w:bCs/>
          <w:color w:val="2A2A2A"/>
          <w:sz w:val="24"/>
        </w:rPr>
        <w:t>月被中</w:t>
      </w:r>
    </w:p>
    <w:p w:rsidR="00CC6021" w:rsidRPr="003C0E9A" w:rsidRDefault="00CC6021" w:rsidP="00CC6021">
      <w:pPr>
        <w:spacing w:line="320" w:lineRule="exact"/>
        <w:ind w:leftChars="169" w:left="372" w:rightChars="-38" w:right="-84"/>
        <w:rPr>
          <w:rFonts w:ascii="Times New Roman" w:eastAsia="仿宋" w:hAnsi="Times New Roman" w:cs="Times New Roman"/>
          <w:color w:val="2A2A2A"/>
          <w:sz w:val="24"/>
        </w:rPr>
      </w:pPr>
      <w:r w:rsidRPr="003C0E9A">
        <w:rPr>
          <w:rFonts w:ascii="Times New Roman" w:eastAsia="仿宋" w:hAnsi="仿宋" w:cs="Times New Roman"/>
          <w:bCs/>
          <w:color w:val="2A2A2A"/>
          <w:sz w:val="24"/>
        </w:rPr>
        <w:t>共中央办公厅《观点摘编》综合采用）、《深刻把握红色文化内涵从六个方面抓好红色文化传承》（</w:t>
      </w:r>
      <w:r w:rsidRPr="003C0E9A">
        <w:rPr>
          <w:rFonts w:ascii="Times New Roman" w:eastAsia="仿宋" w:hAnsi="Times New Roman" w:cs="Times New Roman"/>
          <w:bCs/>
          <w:color w:val="2A2A2A"/>
          <w:sz w:val="24"/>
        </w:rPr>
        <w:t>2017</w:t>
      </w:r>
      <w:r w:rsidRPr="003C0E9A">
        <w:rPr>
          <w:rFonts w:ascii="Times New Roman" w:eastAsia="仿宋" w:hAnsi="仿宋" w:cs="Times New Roman"/>
          <w:bCs/>
          <w:color w:val="2A2A2A"/>
          <w:sz w:val="24"/>
        </w:rPr>
        <w:t>年</w:t>
      </w:r>
      <w:r w:rsidRPr="003C0E9A">
        <w:rPr>
          <w:rFonts w:ascii="Times New Roman" w:eastAsia="仿宋" w:hAnsi="Times New Roman" w:cs="Times New Roman"/>
          <w:bCs/>
          <w:color w:val="2A2A2A"/>
          <w:sz w:val="24"/>
        </w:rPr>
        <w:t>8</w:t>
      </w:r>
      <w:r w:rsidRPr="003C0E9A">
        <w:rPr>
          <w:rFonts w:ascii="Times New Roman" w:eastAsia="仿宋" w:hAnsi="仿宋" w:cs="Times New Roman"/>
          <w:bCs/>
          <w:color w:val="2A2A2A"/>
          <w:sz w:val="24"/>
        </w:rPr>
        <w:t>月被中共中央办公厅《观点摘编》综合采用）。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Cs/>
          <w:color w:val="2A2A2A"/>
          <w:sz w:val="24"/>
        </w:rPr>
      </w:pPr>
      <w:r w:rsidRPr="003C0E9A">
        <w:rPr>
          <w:rFonts w:ascii="Times New Roman" w:eastAsia="仿宋" w:hAnsi="仿宋" w:cs="Times New Roman"/>
          <w:b/>
          <w:color w:val="2A2A2A"/>
          <w:sz w:val="24"/>
        </w:rPr>
        <w:t>品牌活动</w:t>
      </w:r>
      <w:r>
        <w:rPr>
          <w:rFonts w:ascii="Times New Roman" w:eastAsia="仿宋" w:hAnsi="Times New Roman" w:cs="Times New Roman" w:hint="eastAsia"/>
          <w:b/>
          <w:color w:val="2A2A2A"/>
          <w:sz w:val="24"/>
        </w:rPr>
        <w:t>：</w:t>
      </w:r>
      <w:r w:rsidRPr="003C0E9A">
        <w:rPr>
          <w:rFonts w:ascii="Times New Roman" w:eastAsia="仿宋" w:hAnsi="仿宋" w:cs="Times New Roman"/>
          <w:color w:val="2A2A2A"/>
          <w:sz w:val="24"/>
        </w:rPr>
        <w:t>全国毛泽东论坛</w:t>
      </w:r>
    </w:p>
    <w:p w:rsidR="00CC6021" w:rsidRPr="003C0E9A" w:rsidRDefault="00CC6021" w:rsidP="00CC6021">
      <w:pPr>
        <w:spacing w:line="320" w:lineRule="exact"/>
        <w:rPr>
          <w:rFonts w:ascii="Times New Roman" w:eastAsia="仿宋" w:hAnsi="Times New Roman" w:cs="Times New Roman"/>
          <w:b/>
          <w:bCs/>
          <w:color w:val="2A2A2A"/>
          <w:sz w:val="24"/>
        </w:rPr>
      </w:pPr>
      <w:r w:rsidRPr="003C0E9A">
        <w:rPr>
          <w:rFonts w:ascii="Times New Roman" w:eastAsia="仿宋" w:hAnsi="Times New Roman" w:cs="Times New Roman"/>
          <w:b/>
          <w:bCs/>
          <w:color w:val="2A2A2A"/>
          <w:sz w:val="24"/>
        </w:rPr>
        <w:t>2015</w:t>
      </w:r>
      <w:r w:rsidRPr="003C0E9A">
        <w:rPr>
          <w:rFonts w:ascii="Times New Roman" w:eastAsia="仿宋" w:hAnsi="仿宋" w:cs="Times New Roman"/>
          <w:b/>
          <w:bCs/>
          <w:color w:val="2A2A2A"/>
          <w:sz w:val="24"/>
        </w:rPr>
        <w:t>年以来成果统计</w:t>
      </w:r>
      <w:r>
        <w:rPr>
          <w:rFonts w:ascii="Times New Roman" w:eastAsia="仿宋" w:hAnsi="Times New Roman" w:cs="Times New Roman" w:hint="eastAsia"/>
          <w:b/>
          <w:bCs/>
          <w:color w:val="2A2A2A"/>
          <w:sz w:val="24"/>
        </w:rPr>
        <w:t>：</w:t>
      </w:r>
    </w:p>
    <w:tbl>
      <w:tblPr>
        <w:tblStyle w:val="a5"/>
        <w:tblW w:w="8522" w:type="dxa"/>
        <w:jc w:val="center"/>
        <w:tblLayout w:type="fixed"/>
        <w:tblLook w:val="04A0"/>
      </w:tblPr>
      <w:tblGrid>
        <w:gridCol w:w="817"/>
        <w:gridCol w:w="992"/>
        <w:gridCol w:w="1127"/>
        <w:gridCol w:w="1567"/>
        <w:gridCol w:w="1960"/>
        <w:gridCol w:w="966"/>
        <w:gridCol w:w="1093"/>
      </w:tblGrid>
      <w:tr w:rsidR="00CC6021" w:rsidTr="00EF0B2F">
        <w:trPr>
          <w:trHeight w:val="1511"/>
          <w:jc w:val="center"/>
        </w:trPr>
        <w:tc>
          <w:tcPr>
            <w:tcW w:w="817" w:type="dxa"/>
            <w:vAlign w:val="center"/>
          </w:tcPr>
          <w:p w:rsidR="00CC6021" w:rsidRDefault="00CC6021" w:rsidP="00EF0B2F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类型</w:t>
            </w:r>
          </w:p>
        </w:tc>
        <w:tc>
          <w:tcPr>
            <w:tcW w:w="992" w:type="dxa"/>
            <w:vAlign w:val="center"/>
          </w:tcPr>
          <w:p w:rsidR="00CC6021" w:rsidRDefault="00CC6021" w:rsidP="00EF0B2F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正式出版的图书</w:t>
            </w:r>
          </w:p>
        </w:tc>
        <w:tc>
          <w:tcPr>
            <w:tcW w:w="1127" w:type="dxa"/>
            <w:vAlign w:val="center"/>
          </w:tcPr>
          <w:p w:rsidR="00CC6021" w:rsidRDefault="00CC6021" w:rsidP="00EF0B2F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省级以上期刊论文篇数</w:t>
            </w:r>
          </w:p>
        </w:tc>
        <w:tc>
          <w:tcPr>
            <w:tcW w:w="1567" w:type="dxa"/>
            <w:vAlign w:val="center"/>
          </w:tcPr>
          <w:p w:rsidR="00CC6021" w:rsidRDefault="00CC6021" w:rsidP="00EF0B2F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中央媒体文章（人民日报、光明日报、经济日报）</w:t>
            </w:r>
          </w:p>
        </w:tc>
        <w:tc>
          <w:tcPr>
            <w:tcW w:w="1960" w:type="dxa"/>
            <w:vAlign w:val="center"/>
          </w:tcPr>
          <w:p w:rsidR="00CC6021" w:rsidRDefault="00CC6021" w:rsidP="00EF0B2F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国家级项目（国家社科、自科基金）</w:t>
            </w:r>
            <w:r>
              <w:rPr>
                <w:rFonts w:ascii="仿宋" w:eastAsia="仿宋" w:hAnsi="仿宋"/>
                <w:bCs/>
                <w:sz w:val="24"/>
              </w:rPr>
              <w:t>/</w:t>
            </w:r>
            <w:r>
              <w:rPr>
                <w:rFonts w:ascii="仿宋" w:eastAsia="仿宋" w:hAnsi="仿宋" w:hint="eastAsia"/>
                <w:bCs/>
                <w:sz w:val="24"/>
              </w:rPr>
              <w:t>省部级项目（省部级各类项目）</w:t>
            </w:r>
          </w:p>
        </w:tc>
        <w:tc>
          <w:tcPr>
            <w:tcW w:w="966" w:type="dxa"/>
            <w:vAlign w:val="center"/>
          </w:tcPr>
          <w:p w:rsidR="00CC6021" w:rsidRDefault="00CC6021" w:rsidP="00EF0B2F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内参</w:t>
            </w:r>
            <w:r>
              <w:rPr>
                <w:rFonts w:ascii="仿宋" w:eastAsia="仿宋" w:hAnsi="仿宋"/>
                <w:bCs/>
                <w:sz w:val="24"/>
              </w:rPr>
              <w:t>/</w:t>
            </w:r>
            <w:r>
              <w:rPr>
                <w:rFonts w:ascii="仿宋" w:eastAsia="仿宋" w:hAnsi="仿宋" w:hint="eastAsia"/>
                <w:bCs/>
                <w:sz w:val="24"/>
              </w:rPr>
              <w:t>被批示内参</w:t>
            </w:r>
          </w:p>
        </w:tc>
        <w:tc>
          <w:tcPr>
            <w:tcW w:w="1093" w:type="dxa"/>
            <w:vAlign w:val="center"/>
          </w:tcPr>
          <w:p w:rsidR="00CC6021" w:rsidRDefault="00CC6021" w:rsidP="00EF0B2F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研究报告（正式出版的归入图书）</w:t>
            </w:r>
          </w:p>
        </w:tc>
      </w:tr>
      <w:tr w:rsidR="00CC6021" w:rsidTr="00EF0B2F">
        <w:trPr>
          <w:trHeight w:val="433"/>
          <w:jc w:val="center"/>
        </w:trPr>
        <w:tc>
          <w:tcPr>
            <w:tcW w:w="817" w:type="dxa"/>
            <w:vAlign w:val="center"/>
          </w:tcPr>
          <w:p w:rsidR="00CC6021" w:rsidRDefault="00CC6021" w:rsidP="00EF0B2F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数量</w:t>
            </w:r>
          </w:p>
        </w:tc>
        <w:tc>
          <w:tcPr>
            <w:tcW w:w="992" w:type="dxa"/>
            <w:vAlign w:val="center"/>
          </w:tcPr>
          <w:p w:rsidR="00CC6021" w:rsidRPr="003C0E9A" w:rsidRDefault="00CC6021" w:rsidP="00EF0B2F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15</w:t>
            </w:r>
          </w:p>
        </w:tc>
        <w:tc>
          <w:tcPr>
            <w:tcW w:w="1127" w:type="dxa"/>
            <w:vAlign w:val="center"/>
          </w:tcPr>
          <w:p w:rsidR="00CC6021" w:rsidRPr="003C0E9A" w:rsidRDefault="00CC6021" w:rsidP="00EF0B2F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150</w:t>
            </w:r>
          </w:p>
        </w:tc>
        <w:tc>
          <w:tcPr>
            <w:tcW w:w="1567" w:type="dxa"/>
            <w:vAlign w:val="center"/>
          </w:tcPr>
          <w:p w:rsidR="00CC6021" w:rsidRPr="003C0E9A" w:rsidRDefault="00CC6021" w:rsidP="00EF0B2F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7</w:t>
            </w:r>
          </w:p>
        </w:tc>
        <w:tc>
          <w:tcPr>
            <w:tcW w:w="1960" w:type="dxa"/>
            <w:vAlign w:val="center"/>
          </w:tcPr>
          <w:p w:rsidR="00CC6021" w:rsidRPr="003C0E9A" w:rsidRDefault="00CC6021" w:rsidP="00EF0B2F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9/13</w:t>
            </w:r>
          </w:p>
        </w:tc>
        <w:tc>
          <w:tcPr>
            <w:tcW w:w="966" w:type="dxa"/>
            <w:vAlign w:val="center"/>
          </w:tcPr>
          <w:p w:rsidR="00CC6021" w:rsidRPr="003C0E9A" w:rsidRDefault="00CC6021" w:rsidP="00EF0B2F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3/5</w:t>
            </w:r>
          </w:p>
        </w:tc>
        <w:tc>
          <w:tcPr>
            <w:tcW w:w="1093" w:type="dxa"/>
            <w:vAlign w:val="center"/>
          </w:tcPr>
          <w:p w:rsidR="00CC6021" w:rsidRPr="003C0E9A" w:rsidRDefault="00CC6021" w:rsidP="00EF0B2F">
            <w:pPr>
              <w:spacing w:line="280" w:lineRule="exact"/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3C0E9A">
              <w:rPr>
                <w:rFonts w:ascii="Times New Roman" w:eastAsia="仿宋" w:hAnsi="Times New Roman" w:cs="Times New Roman"/>
                <w:bCs/>
                <w:sz w:val="24"/>
              </w:rPr>
              <w:t>2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CC6021">
      <w:pgSz w:w="11906" w:h="16838"/>
      <w:pgMar w:top="1440" w:right="1531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776" w:rsidRDefault="00EE1776" w:rsidP="00CC6021">
      <w:pPr>
        <w:spacing w:after="0"/>
      </w:pPr>
      <w:r>
        <w:separator/>
      </w:r>
    </w:p>
  </w:endnote>
  <w:endnote w:type="continuationSeparator" w:id="0">
    <w:p w:rsidR="00EE1776" w:rsidRDefault="00EE1776" w:rsidP="00CC60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776" w:rsidRDefault="00EE1776" w:rsidP="00CC6021">
      <w:pPr>
        <w:spacing w:after="0"/>
      </w:pPr>
      <w:r>
        <w:separator/>
      </w:r>
    </w:p>
  </w:footnote>
  <w:footnote w:type="continuationSeparator" w:id="0">
    <w:p w:rsidR="00EE1776" w:rsidRDefault="00EE1776" w:rsidP="00CC602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66302"/>
    <w:rsid w:val="00BA18A6"/>
    <w:rsid w:val="00CC6021"/>
    <w:rsid w:val="00D312ED"/>
    <w:rsid w:val="00D31D50"/>
    <w:rsid w:val="00EE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pspfanyilineone">
    <w:name w:val="op_sp_fanyi_line_one"/>
    <w:basedOn w:val="a"/>
    <w:rsid w:val="00D312E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opspfanyilinetwo">
    <w:name w:val="op_sp_fanyi_line_two"/>
    <w:basedOn w:val="a"/>
    <w:rsid w:val="00D312E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D312ED"/>
  </w:style>
  <w:style w:type="paragraph" w:styleId="a3">
    <w:name w:val="header"/>
    <w:basedOn w:val="a"/>
    <w:link w:val="Char"/>
    <w:uiPriority w:val="99"/>
    <w:semiHidden/>
    <w:unhideWhenUsed/>
    <w:rsid w:val="00CC60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602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602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6021"/>
    <w:rPr>
      <w:rFonts w:ascii="Tahoma" w:hAnsi="Tahoma"/>
      <w:sz w:val="18"/>
      <w:szCs w:val="18"/>
    </w:rPr>
  </w:style>
  <w:style w:type="table" w:styleId="a5">
    <w:name w:val="Table Grid"/>
    <w:basedOn w:val="a1"/>
    <w:rsid w:val="00CC6021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2017-08-31T03:50:00Z</dcterms:modified>
</cp:coreProperties>
</file>